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DC2" w:rsidRPr="003F7DC2" w:rsidRDefault="003F7DC2" w:rsidP="003F7DC2">
      <w:pPr>
        <w:autoSpaceDE w:val="0"/>
        <w:autoSpaceDN w:val="0"/>
        <w:adjustRightInd w:val="0"/>
        <w:rPr>
          <w:rFonts w:ascii="HelveticaNeue-Bold" w:hAnsi="HelveticaNeue-Bold" w:cs="HelveticaNeue-Bold"/>
          <w:b/>
          <w:bCs/>
          <w:color w:val="20231E"/>
          <w:sz w:val="20"/>
          <w:szCs w:val="20"/>
        </w:rPr>
      </w:pPr>
      <w:r>
        <w:rPr>
          <w:rFonts w:ascii="HelveticaNeue-Bold" w:hAnsi="HelveticaNeue-Bold" w:cs="HelveticaNeue-Bold"/>
          <w:b/>
          <w:bCs/>
          <w:color w:val="20231E"/>
          <w:sz w:val="20"/>
          <w:szCs w:val="20"/>
        </w:rPr>
        <w:t xml:space="preserve">11 ENGLISH </w:t>
      </w:r>
      <w:r>
        <w:rPr>
          <w:rFonts w:ascii="HelveticaNeue-Bold" w:hAnsi="HelveticaNeue-Bold" w:cs="HelveticaNeue-Bold"/>
          <w:b/>
          <w:bCs/>
          <w:color w:val="20231E"/>
          <w:sz w:val="20"/>
          <w:szCs w:val="20"/>
        </w:rPr>
        <w:t xml:space="preserve">Semester 1: UNIT 2-AREA OF STUDY 2, CONTEXT-Family and Society  </w:t>
      </w:r>
      <w:r>
        <w:rPr>
          <w:rFonts w:ascii="HelveticaNeue-Bold" w:hAnsi="HelveticaNeue-Bold" w:cs="HelveticaNeue-Bold"/>
          <w:b/>
          <w:bCs/>
          <w:color w:val="20231E"/>
          <w:sz w:val="20"/>
          <w:szCs w:val="20"/>
        </w:rPr>
        <w:tab/>
      </w:r>
      <w:r>
        <w:rPr>
          <w:rFonts w:ascii="HelveticaNeue-Bold" w:hAnsi="HelveticaNeue-Bold" w:cs="HelveticaNeue-Bold"/>
          <w:b/>
          <w:bCs/>
          <w:color w:val="20231E"/>
          <w:sz w:val="20"/>
          <w:szCs w:val="20"/>
        </w:rPr>
        <w:t xml:space="preserve">  Text: </w:t>
      </w:r>
      <w:r>
        <w:rPr>
          <w:rFonts w:ascii="HelveticaNeue-Bold" w:hAnsi="HelveticaNeue-Bold" w:cs="HelveticaNeue-Bold"/>
          <w:b/>
          <w:bCs/>
          <w:i/>
          <w:color w:val="20231E"/>
          <w:sz w:val="20"/>
          <w:szCs w:val="20"/>
        </w:rPr>
        <w:t xml:space="preserve">I’m Not Scared </w:t>
      </w:r>
      <w:r w:rsidRPr="003F7DC2">
        <w:rPr>
          <w:rFonts w:ascii="HelveticaNeue-Bold" w:hAnsi="HelveticaNeue-Bold" w:cs="HelveticaNeue-Bold"/>
          <w:b/>
          <w:bCs/>
          <w:color w:val="20231E"/>
          <w:sz w:val="20"/>
          <w:szCs w:val="20"/>
        </w:rPr>
        <w:t>SAC</w:t>
      </w:r>
      <w:r>
        <w:rPr>
          <w:rFonts w:ascii="HelveticaNeue-Bold" w:hAnsi="HelveticaNeue-Bold" w:cs="HelveticaNeue-Bold"/>
          <w:b/>
          <w:bCs/>
          <w:color w:val="20231E"/>
          <w:sz w:val="20"/>
          <w:szCs w:val="20"/>
        </w:rPr>
        <w:t>’s:</w:t>
      </w:r>
      <w:r w:rsidRPr="003F7DC2">
        <w:rPr>
          <w:rFonts w:ascii="HelveticaNeue-Bold" w:hAnsi="HelveticaNeue-Bold" w:cs="HelveticaNeue-Bold"/>
          <w:b/>
          <w:bCs/>
          <w:color w:val="20231E"/>
          <w:sz w:val="20"/>
          <w:szCs w:val="20"/>
        </w:rPr>
        <w:t xml:space="preserve"> Creative and expository</w:t>
      </w:r>
    </w:p>
    <w:p w:rsidR="003F7DC2" w:rsidRDefault="003F7DC2" w:rsidP="003F7DC2">
      <w:pPr>
        <w:autoSpaceDE w:val="0"/>
        <w:autoSpaceDN w:val="0"/>
        <w:adjustRightInd w:val="0"/>
        <w:rPr>
          <w:rFonts w:ascii="HelveticaNeue-Bold" w:hAnsi="HelveticaNeue-Bold" w:cs="HelveticaNeue-Bold"/>
          <w:b/>
          <w:bCs/>
          <w:color w:val="20231E"/>
          <w:sz w:val="21"/>
          <w:szCs w:val="21"/>
        </w:rPr>
      </w:pPr>
    </w:p>
    <w:p w:rsidR="003F7DC2" w:rsidRDefault="003F7DC2" w:rsidP="003F7DC2">
      <w:pPr>
        <w:autoSpaceDE w:val="0"/>
        <w:autoSpaceDN w:val="0"/>
        <w:adjustRightInd w:val="0"/>
        <w:rPr>
          <w:rFonts w:ascii="HelveticaNeue-Bold" w:hAnsi="HelveticaNeue-Bold" w:cs="HelveticaNeue-Bold"/>
          <w:b/>
          <w:bCs/>
          <w:color w:val="20231E"/>
          <w:sz w:val="21"/>
          <w:szCs w:val="21"/>
        </w:rPr>
      </w:pPr>
      <w:r>
        <w:rPr>
          <w:rFonts w:ascii="HelveticaNeue-Bold" w:hAnsi="HelveticaNeue-Bold" w:cs="HelveticaNeue-Bold"/>
          <w:b/>
          <w:bCs/>
          <w:color w:val="20231E"/>
          <w:sz w:val="21"/>
          <w:szCs w:val="21"/>
        </w:rPr>
        <w:t>Creating and presenting</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In this area of study students’ writing is informed by their reading of a range of texts relevant to one of the Contexts listed below. They are encouraged to read widely and to study at least one set text or a collection of shorter set texts in order to examine the effects of form, purpose, audience and context on the authors’ choice of structure and language. They draw on the knowledge gained from this study to create their own written and/or multimodal texts in a process which includes planning, reviewing and editing.</w:t>
      </w:r>
    </w:p>
    <w:p w:rsidR="003F7DC2" w:rsidRDefault="003F7DC2" w:rsidP="003F7DC2">
      <w:pPr>
        <w:autoSpaceDE w:val="0"/>
        <w:autoSpaceDN w:val="0"/>
        <w:adjustRightInd w:val="0"/>
        <w:rPr>
          <w:rFonts w:ascii="Times-Roman" w:hAnsi="Times-Roman" w:cs="Times-Roman"/>
          <w:color w:val="20231E"/>
          <w:sz w:val="22"/>
          <w:szCs w:val="22"/>
        </w:rPr>
      </w:pPr>
    </w:p>
    <w:p w:rsidR="003F7DC2" w:rsidRDefault="003F7DC2" w:rsidP="003F7DC2">
      <w:pPr>
        <w:autoSpaceDE w:val="0"/>
        <w:autoSpaceDN w:val="0"/>
        <w:adjustRightInd w:val="0"/>
        <w:rPr>
          <w:rFonts w:ascii="Times-Bold" w:hAnsi="Times-Bold" w:cs="Times-Bold"/>
          <w:b/>
          <w:bCs/>
          <w:color w:val="20231E"/>
          <w:sz w:val="22"/>
          <w:szCs w:val="22"/>
        </w:rPr>
      </w:pPr>
      <w:r>
        <w:rPr>
          <w:rFonts w:ascii="Times-Bold" w:hAnsi="Times-Bold" w:cs="Times-Bold"/>
          <w:b/>
          <w:bCs/>
          <w:color w:val="20231E"/>
          <w:sz w:val="22"/>
          <w:szCs w:val="22"/>
        </w:rPr>
        <w:t>Exploring and presenting themes or ideas</w:t>
      </w:r>
    </w:p>
    <w:p w:rsidR="003F7DC2" w:rsidRP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In this Context (Family and society) students explore the ways in which particular themes or ideas are presented in set print, non-print and multimodal texts. Students draw on this exploration to create and present their own written and/or multimodal texts on the same theme or idea for a specific audience, purpose and contex</w:t>
      </w:r>
      <w:r>
        <w:rPr>
          <w:rFonts w:ascii="Times-Roman" w:hAnsi="Times-Roman" w:cs="Times-Roman"/>
          <w:color w:val="20231E"/>
          <w:sz w:val="22"/>
          <w:szCs w:val="22"/>
        </w:rPr>
        <w:t>t.</w:t>
      </w:r>
      <w:bookmarkStart w:id="0" w:name="_GoBack"/>
      <w:bookmarkEnd w:id="0"/>
    </w:p>
    <w:p w:rsidR="003F7DC2" w:rsidRDefault="003F7DC2" w:rsidP="003F7DC2">
      <w:pPr>
        <w:autoSpaceDE w:val="0"/>
        <w:autoSpaceDN w:val="0"/>
        <w:adjustRightInd w:val="0"/>
        <w:rPr>
          <w:rFonts w:ascii="HelveticaNeue-Bold" w:hAnsi="HelveticaNeue-Bold" w:cs="HelveticaNeue-Bold"/>
          <w:b/>
          <w:bCs/>
          <w:color w:val="20231E"/>
          <w:sz w:val="21"/>
          <w:szCs w:val="21"/>
        </w:rPr>
      </w:pPr>
    </w:p>
    <w:p w:rsidR="003F7DC2" w:rsidRDefault="003F7DC2" w:rsidP="003F7DC2">
      <w:pPr>
        <w:autoSpaceDE w:val="0"/>
        <w:autoSpaceDN w:val="0"/>
        <w:adjustRightInd w:val="0"/>
        <w:rPr>
          <w:rFonts w:ascii="HelveticaNeue-Bold" w:hAnsi="HelveticaNeue-Bold" w:cs="HelveticaNeue-Bold"/>
          <w:b/>
          <w:bCs/>
          <w:color w:val="20231E"/>
          <w:sz w:val="21"/>
          <w:szCs w:val="21"/>
        </w:rPr>
      </w:pPr>
      <w:r>
        <w:rPr>
          <w:rFonts w:ascii="HelveticaNeue-Bold" w:hAnsi="HelveticaNeue-Bold" w:cs="HelveticaNeue-Bold"/>
          <w:b/>
          <w:bCs/>
          <w:color w:val="20231E"/>
          <w:sz w:val="21"/>
          <w:szCs w:val="21"/>
        </w:rPr>
        <w:t>Outcome 2</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On completion of this unit the student should be able to create and present texts taking account of audience, purpose and context. </w:t>
      </w:r>
    </w:p>
    <w:p w:rsidR="003F7DC2" w:rsidRDefault="003F7DC2" w:rsidP="003F7DC2">
      <w:pPr>
        <w:autoSpaceDE w:val="0"/>
        <w:autoSpaceDN w:val="0"/>
        <w:adjustRightInd w:val="0"/>
        <w:rPr>
          <w:rFonts w:ascii="HelveticaNeue-Italic" w:hAnsi="HelveticaNeue-Italic" w:cs="HelveticaNeue-Italic"/>
          <w:i/>
          <w:iCs/>
          <w:color w:val="20231E"/>
          <w:sz w:val="21"/>
          <w:szCs w:val="21"/>
        </w:rPr>
      </w:pPr>
    </w:p>
    <w:p w:rsidR="003F7DC2" w:rsidRDefault="003F7DC2" w:rsidP="003F7DC2">
      <w:pPr>
        <w:autoSpaceDE w:val="0"/>
        <w:autoSpaceDN w:val="0"/>
        <w:adjustRightInd w:val="0"/>
        <w:rPr>
          <w:rFonts w:ascii="HelveticaNeue-Italic" w:hAnsi="HelveticaNeue-Italic" w:cs="HelveticaNeue-Italic"/>
          <w:i/>
          <w:iCs/>
          <w:color w:val="20231E"/>
          <w:sz w:val="21"/>
          <w:szCs w:val="21"/>
        </w:rPr>
      </w:pPr>
      <w:r>
        <w:rPr>
          <w:rFonts w:ascii="HelveticaNeue-Italic" w:hAnsi="HelveticaNeue-Italic" w:cs="HelveticaNeue-Italic"/>
          <w:i/>
          <w:iCs/>
          <w:color w:val="20231E"/>
          <w:sz w:val="21"/>
          <w:szCs w:val="21"/>
        </w:rPr>
        <w:t>Key knowledge</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This knowledge includes</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the</w:t>
      </w:r>
      <w:proofErr w:type="gramEnd"/>
      <w:r>
        <w:rPr>
          <w:rFonts w:ascii="Times-Roman" w:hAnsi="Times-Roman" w:cs="Times-Roman"/>
          <w:color w:val="20231E"/>
          <w:sz w:val="22"/>
          <w:szCs w:val="22"/>
        </w:rPr>
        <w:t xml:space="preserve"> structures, features and conventions of a range of print, non-print and multimodal texts    created for different purposes; for example, personal and imaginative, informative, instructional, argumentative or persuasive;</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the</w:t>
      </w:r>
      <w:proofErr w:type="gramEnd"/>
      <w:r>
        <w:rPr>
          <w:rFonts w:ascii="Times-Roman" w:hAnsi="Times-Roman" w:cs="Times-Roman"/>
          <w:color w:val="20231E"/>
          <w:sz w:val="22"/>
          <w:szCs w:val="22"/>
        </w:rPr>
        <w:t xml:space="preserve"> effects of form, context, audience and purpose on the author’s choice of structure and  language;</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the</w:t>
      </w:r>
      <w:proofErr w:type="gramEnd"/>
      <w:r>
        <w:rPr>
          <w:rFonts w:ascii="Times-Roman" w:hAnsi="Times-Roman" w:cs="Times-Roman"/>
          <w:color w:val="20231E"/>
          <w:sz w:val="22"/>
          <w:szCs w:val="22"/>
        </w:rPr>
        <w:t xml:space="preserve"> visual, auditory and digital features used by authors to make meaning;</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strategies</w:t>
      </w:r>
      <w:proofErr w:type="gramEnd"/>
      <w:r>
        <w:rPr>
          <w:rFonts w:ascii="Times-Roman" w:hAnsi="Times-Roman" w:cs="Times-Roman"/>
          <w:color w:val="20231E"/>
          <w:sz w:val="22"/>
          <w:szCs w:val="22"/>
        </w:rPr>
        <w:t xml:space="preserve"> for planning and revising text responses for coherence of form, language,  structure, audience and context;</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the</w:t>
      </w:r>
      <w:proofErr w:type="gramEnd"/>
      <w:r>
        <w:rPr>
          <w:rFonts w:ascii="Times-Roman" w:hAnsi="Times-Roman" w:cs="Times-Roman"/>
          <w:color w:val="20231E"/>
          <w:sz w:val="22"/>
          <w:szCs w:val="22"/>
        </w:rPr>
        <w:t xml:space="preserve"> metalanguage necessary to be able to discuss structures, features and forms of their own  and others’ texts;</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xml:space="preserve">• </w:t>
      </w:r>
      <w:proofErr w:type="gramStart"/>
      <w:r>
        <w:rPr>
          <w:rFonts w:ascii="Times-Roman" w:hAnsi="Times-Roman" w:cs="Times-Roman"/>
          <w:color w:val="20231E"/>
          <w:sz w:val="22"/>
          <w:szCs w:val="22"/>
        </w:rPr>
        <w:t>the</w:t>
      </w:r>
      <w:proofErr w:type="gramEnd"/>
      <w:r>
        <w:rPr>
          <w:rFonts w:ascii="Times-Roman" w:hAnsi="Times-Roman" w:cs="Times-Roman"/>
          <w:color w:val="20231E"/>
          <w:sz w:val="22"/>
          <w:szCs w:val="22"/>
        </w:rPr>
        <w:t xml:space="preserve"> conventions of spelling, punctuation and syntax of Standard Australian English.</w:t>
      </w:r>
    </w:p>
    <w:p w:rsidR="003F7DC2" w:rsidRDefault="003F7DC2" w:rsidP="003F7DC2">
      <w:pPr>
        <w:autoSpaceDE w:val="0"/>
        <w:autoSpaceDN w:val="0"/>
        <w:adjustRightInd w:val="0"/>
        <w:rPr>
          <w:rFonts w:ascii="HelveticaNeue-Italic" w:hAnsi="HelveticaNeue-Italic" w:cs="HelveticaNeue-Italic"/>
          <w:i/>
          <w:iCs/>
          <w:color w:val="20231E"/>
          <w:sz w:val="21"/>
          <w:szCs w:val="21"/>
        </w:rPr>
      </w:pPr>
    </w:p>
    <w:p w:rsidR="003F7DC2" w:rsidRDefault="003F7DC2" w:rsidP="003F7DC2">
      <w:pPr>
        <w:autoSpaceDE w:val="0"/>
        <w:autoSpaceDN w:val="0"/>
        <w:adjustRightInd w:val="0"/>
        <w:rPr>
          <w:rFonts w:ascii="HelveticaNeue-Italic" w:hAnsi="HelveticaNeue-Italic" w:cs="HelveticaNeue-Italic"/>
          <w:i/>
          <w:iCs/>
          <w:color w:val="20231E"/>
          <w:sz w:val="21"/>
          <w:szCs w:val="21"/>
        </w:rPr>
      </w:pPr>
      <w:r>
        <w:rPr>
          <w:rFonts w:ascii="HelveticaNeue-Italic" w:hAnsi="HelveticaNeue-Italic" w:cs="HelveticaNeue-Italic"/>
          <w:i/>
          <w:iCs/>
          <w:color w:val="20231E"/>
          <w:sz w:val="21"/>
          <w:szCs w:val="21"/>
        </w:rPr>
        <w:t>Key skills</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These skills include the ability to</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use accurately the structures, features and conventions of a range of print, non-print and multimodal texts;</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select text type, subject matter and language to suit a specific audience, purpose and context;</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draw on content suggested by set texts to develop and support ideas and arguments;</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plan and revise for coherence of form, language, structure, audience and context;</w:t>
      </w:r>
    </w:p>
    <w:p w:rsidR="003F7DC2" w:rsidRDefault="003F7DC2" w:rsidP="003F7DC2">
      <w:pPr>
        <w:autoSpaceDE w:val="0"/>
        <w:autoSpaceDN w:val="0"/>
        <w:adjustRightInd w:val="0"/>
        <w:rPr>
          <w:rFonts w:ascii="Times-Roman" w:hAnsi="Times-Roman" w:cs="Times-Roman"/>
          <w:color w:val="20231E"/>
          <w:sz w:val="22"/>
          <w:szCs w:val="22"/>
        </w:rPr>
      </w:pPr>
      <w:r>
        <w:rPr>
          <w:rFonts w:ascii="Times-Roman" w:hAnsi="Times-Roman" w:cs="Times-Roman"/>
          <w:color w:val="20231E"/>
          <w:sz w:val="22"/>
          <w:szCs w:val="22"/>
        </w:rPr>
        <w:t>• use appropriate metalanguage to discuss structures, features and forms of their own and others’ texts;</w:t>
      </w:r>
    </w:p>
    <w:p w:rsidR="003F7DC2" w:rsidRDefault="003F7DC2" w:rsidP="003F7DC2">
      <w:pPr>
        <w:rPr>
          <w:rFonts w:ascii="Times-Roman" w:hAnsi="Times-Roman" w:cs="Times-Roman"/>
          <w:color w:val="20231E"/>
          <w:sz w:val="22"/>
          <w:szCs w:val="22"/>
        </w:rPr>
      </w:pPr>
      <w:r>
        <w:rPr>
          <w:rFonts w:ascii="Times-Roman" w:hAnsi="Times-Roman" w:cs="Times-Roman"/>
          <w:color w:val="20231E"/>
          <w:sz w:val="22"/>
          <w:szCs w:val="22"/>
        </w:rPr>
        <w:t>• use the conventions of spelling, punctuation and syntax of Standard Australian English.</w:t>
      </w: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p w:rsidR="003F7DC2" w:rsidRDefault="003F7DC2" w:rsidP="003F7DC2">
      <w:pPr>
        <w:rPr>
          <w:rFonts w:ascii="Times-Roman" w:hAnsi="Times-Roman" w:cs="Times-Roman"/>
          <w:color w:val="20231E"/>
          <w:sz w:val="22"/>
          <w:szCs w:val="22"/>
        </w:rPr>
      </w:pPr>
    </w:p>
    <w:tbl>
      <w:tblPr>
        <w:tblW w:w="7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5220"/>
      </w:tblGrid>
      <w:tr w:rsidR="003F7DC2" w:rsidTr="00FA2ACD">
        <w:tblPrEx>
          <w:tblCellMar>
            <w:top w:w="0" w:type="dxa"/>
            <w:bottom w:w="0" w:type="dxa"/>
          </w:tblCellMar>
        </w:tblPrEx>
        <w:tc>
          <w:tcPr>
            <w:tcW w:w="7560" w:type="dxa"/>
            <w:gridSpan w:val="2"/>
            <w:tcBorders>
              <w:left w:val="nil"/>
              <w:bottom w:val="single" w:sz="4" w:space="0" w:color="auto"/>
              <w:right w:val="nil"/>
            </w:tcBorders>
          </w:tcPr>
          <w:p w:rsidR="003F7DC2" w:rsidRDefault="003F7DC2" w:rsidP="00FA2ACD">
            <w:pPr>
              <w:pStyle w:val="Head3"/>
              <w:spacing w:before="140"/>
            </w:pPr>
            <w:r>
              <w:lastRenderedPageBreak/>
              <w:t>Outcome 2</w:t>
            </w:r>
            <w:r>
              <w:t xml:space="preserve"> Creative</w:t>
            </w:r>
          </w:p>
          <w:p w:rsidR="003F7DC2" w:rsidRDefault="003F7DC2" w:rsidP="00FA2ACD">
            <w:pPr>
              <w:spacing w:before="60" w:after="140"/>
            </w:pPr>
            <w:r>
              <w:t>Draw on ideas and/or arguments suggested by a chosen Context to create written texts for a specified audience and purpose; and to discuss and analyse in writing their decisions about form, purpose, language, audience and context.</w:t>
            </w:r>
          </w:p>
        </w:tc>
      </w:tr>
      <w:tr w:rsidR="003F7DC2" w:rsidTr="00FA2ACD">
        <w:tblPrEx>
          <w:tblCellMar>
            <w:top w:w="0" w:type="dxa"/>
            <w:bottom w:w="0" w:type="dxa"/>
          </w:tblCellMar>
        </w:tblPrEx>
        <w:tc>
          <w:tcPr>
            <w:tcW w:w="2340" w:type="dxa"/>
            <w:tcBorders>
              <w:left w:val="nil"/>
              <w:bottom w:val="single" w:sz="4" w:space="0" w:color="auto"/>
              <w:right w:val="nil"/>
            </w:tcBorders>
          </w:tcPr>
          <w:p w:rsidR="003F7DC2" w:rsidRDefault="003F7DC2" w:rsidP="00FA2ACD">
            <w:pPr>
              <w:pStyle w:val="TableHead"/>
              <w:spacing w:before="80" w:after="80"/>
            </w:pPr>
            <w:smartTag w:uri="urn:schemas-microsoft-com:office:smarttags" w:element="place">
              <w:smartTag w:uri="urn:schemas-microsoft-com:office:smarttags" w:element="PlaceName">
                <w:r>
                  <w:t>MARK</w:t>
                </w:r>
              </w:smartTag>
              <w:r>
                <w:t xml:space="preserve"> </w:t>
              </w:r>
              <w:smartTag w:uri="urn:schemas-microsoft-com:office:smarttags" w:element="PlaceName">
                <w:r>
                  <w:t>RANGE</w:t>
                </w:r>
              </w:smartTag>
            </w:smartTag>
          </w:p>
        </w:tc>
        <w:tc>
          <w:tcPr>
            <w:tcW w:w="5220" w:type="dxa"/>
            <w:tcBorders>
              <w:left w:val="nil"/>
              <w:bottom w:val="single" w:sz="4" w:space="0" w:color="auto"/>
              <w:right w:val="nil"/>
            </w:tcBorders>
          </w:tcPr>
          <w:p w:rsidR="003F7DC2" w:rsidRDefault="003F7DC2" w:rsidP="00FA2ACD">
            <w:pPr>
              <w:pStyle w:val="TableHead"/>
              <w:spacing w:before="80" w:after="80"/>
            </w:pPr>
            <w:r>
              <w:t>DESCRIPTOR: typical performance in each range</w:t>
            </w:r>
          </w:p>
        </w:tc>
      </w:tr>
      <w:tr w:rsidR="003F7DC2" w:rsidTr="00FA2ACD">
        <w:tblPrEx>
          <w:tblCellMar>
            <w:top w:w="0" w:type="dxa"/>
            <w:bottom w:w="0" w:type="dxa"/>
          </w:tblCellMar>
        </w:tblPrEx>
        <w:tc>
          <w:tcPr>
            <w:tcW w:w="2340" w:type="dxa"/>
            <w:tcBorders>
              <w:left w:val="nil"/>
              <w:bottom w:val="single" w:sz="4" w:space="0" w:color="auto"/>
              <w:right w:val="nil"/>
            </w:tcBorders>
          </w:tcPr>
          <w:p w:rsidR="003F7DC2" w:rsidRDefault="003F7DC2" w:rsidP="00FA2ACD">
            <w:pPr>
              <w:pStyle w:val="TableText"/>
              <w:spacing w:before="120" w:after="120"/>
            </w:pPr>
            <w:r>
              <w:t>25–30 marks</w:t>
            </w:r>
          </w:p>
        </w:tc>
        <w:tc>
          <w:tcPr>
            <w:tcW w:w="5220" w:type="dxa"/>
            <w:tcBorders>
              <w:left w:val="nil"/>
              <w:bottom w:val="single" w:sz="4" w:space="0" w:color="auto"/>
              <w:right w:val="nil"/>
            </w:tcBorders>
          </w:tcPr>
          <w:p w:rsidR="003F7DC2" w:rsidRDefault="003F7DC2" w:rsidP="00FA2ACD">
            <w:pPr>
              <w:pStyle w:val="TableText"/>
              <w:spacing w:before="120" w:after="120"/>
            </w:pPr>
            <w:proofErr w:type="spellStart"/>
            <w:r>
              <w:t>Skilful</w:t>
            </w:r>
            <w:proofErr w:type="spellEnd"/>
            <w:r>
              <w:t xml:space="preserve"> shaping of ideas, arguments and language appropriate to the chosen form, audience, purpose and context. Sophisticated understanding of complex ideas and/or arguments relevant to the chosen Context and presented in selected text/s; a demonstrated ability to draw on and develop these in the creation of own text/s. Highly expressive, fluent and coherent writing. Use of appropriate </w:t>
            </w:r>
            <w:proofErr w:type="spellStart"/>
            <w:r>
              <w:t>metalanguage</w:t>
            </w:r>
            <w:proofErr w:type="spellEnd"/>
            <w:r>
              <w:t xml:space="preserve"> to present an insightful, highly expressive and coherent written explanation of personal authorial choices.</w:t>
            </w:r>
          </w:p>
        </w:tc>
      </w:tr>
      <w:tr w:rsidR="003F7DC2" w:rsidTr="00FA2ACD">
        <w:tblPrEx>
          <w:tblCellMar>
            <w:top w:w="0" w:type="dxa"/>
            <w:bottom w:w="0" w:type="dxa"/>
          </w:tblCellMar>
        </w:tblPrEx>
        <w:tc>
          <w:tcPr>
            <w:tcW w:w="2340" w:type="dxa"/>
            <w:tcBorders>
              <w:left w:val="nil"/>
              <w:bottom w:val="single" w:sz="4" w:space="0" w:color="auto"/>
              <w:right w:val="nil"/>
            </w:tcBorders>
          </w:tcPr>
          <w:p w:rsidR="003F7DC2" w:rsidRDefault="003F7DC2" w:rsidP="00FA2ACD">
            <w:pPr>
              <w:pStyle w:val="TableText"/>
              <w:spacing w:before="80" w:after="120"/>
            </w:pPr>
            <w:r>
              <w:br w:type="page"/>
              <w:t>19–24 marks</w:t>
            </w:r>
          </w:p>
        </w:tc>
        <w:tc>
          <w:tcPr>
            <w:tcW w:w="5220" w:type="dxa"/>
            <w:tcBorders>
              <w:left w:val="nil"/>
              <w:bottom w:val="single" w:sz="4" w:space="0" w:color="auto"/>
              <w:right w:val="nil"/>
            </w:tcBorders>
          </w:tcPr>
          <w:p w:rsidR="003F7DC2" w:rsidRDefault="003F7DC2" w:rsidP="00FA2ACD">
            <w:pPr>
              <w:pStyle w:val="TableText"/>
              <w:spacing w:before="80" w:after="120"/>
            </w:pPr>
            <w:r>
              <w:t xml:space="preserve">Considered use of ideas, arguments and language appropriate to the chosen form, audience, purpose and context. Thorough understanding of ideas and/or arguments relevant to the chosen Context and presented in selected text/s; a demonstrated ability to draw purposefully on these in the creation of own text/s. Expressive, fluent and coherent writing. Use of appropriate </w:t>
            </w:r>
            <w:proofErr w:type="spellStart"/>
            <w:r>
              <w:t>metalanguage</w:t>
            </w:r>
            <w:proofErr w:type="spellEnd"/>
            <w:r>
              <w:t xml:space="preserve"> to present a considered, expressive and coherent written explanation of personal authorial choices.</w:t>
            </w:r>
          </w:p>
        </w:tc>
      </w:tr>
      <w:tr w:rsidR="003F7DC2" w:rsidTr="00FA2ACD">
        <w:tblPrEx>
          <w:tblCellMar>
            <w:top w:w="0" w:type="dxa"/>
            <w:bottom w:w="0" w:type="dxa"/>
          </w:tblCellMar>
        </w:tblPrEx>
        <w:tc>
          <w:tcPr>
            <w:tcW w:w="2340" w:type="dxa"/>
            <w:tcBorders>
              <w:left w:val="nil"/>
              <w:bottom w:val="single" w:sz="4" w:space="0" w:color="auto"/>
              <w:right w:val="nil"/>
            </w:tcBorders>
          </w:tcPr>
          <w:p w:rsidR="003F7DC2" w:rsidRDefault="003F7DC2" w:rsidP="00FA2ACD">
            <w:pPr>
              <w:pStyle w:val="TableText"/>
              <w:spacing w:before="80" w:after="120"/>
            </w:pPr>
            <w:r>
              <w:t>13–18 marks</w:t>
            </w:r>
          </w:p>
        </w:tc>
        <w:tc>
          <w:tcPr>
            <w:tcW w:w="5220" w:type="dxa"/>
            <w:tcBorders>
              <w:left w:val="nil"/>
              <w:bottom w:val="single" w:sz="4" w:space="0" w:color="auto"/>
              <w:right w:val="nil"/>
            </w:tcBorders>
          </w:tcPr>
          <w:p w:rsidR="003F7DC2" w:rsidRDefault="003F7DC2" w:rsidP="00FA2ACD">
            <w:pPr>
              <w:pStyle w:val="TableText"/>
              <w:spacing w:before="80" w:after="120"/>
            </w:pPr>
            <w:r>
              <w:t xml:space="preserve">Suitable use of ideas, arguments and language appropriate to the chosen form, audience, purpose and context. Clear understanding of basic ideas and/or arguments relevant to the chosen Context and presented in selected texts; a demonstrated ability to draw on these to some degree in the creation of own text/s. Generally expressive, fluent and coherent writing. Use of </w:t>
            </w:r>
            <w:proofErr w:type="spellStart"/>
            <w:r>
              <w:t>metalanguage</w:t>
            </w:r>
            <w:proofErr w:type="spellEnd"/>
            <w:r>
              <w:t xml:space="preserve"> to present a clear, coherent and general explanation of personal authorial choices.</w:t>
            </w:r>
          </w:p>
        </w:tc>
      </w:tr>
      <w:tr w:rsidR="003F7DC2" w:rsidTr="00FA2ACD">
        <w:tblPrEx>
          <w:tblCellMar>
            <w:top w:w="0" w:type="dxa"/>
            <w:bottom w:w="0" w:type="dxa"/>
          </w:tblCellMar>
        </w:tblPrEx>
        <w:tc>
          <w:tcPr>
            <w:tcW w:w="2340" w:type="dxa"/>
            <w:tcBorders>
              <w:left w:val="nil"/>
              <w:bottom w:val="single" w:sz="4" w:space="0" w:color="auto"/>
              <w:right w:val="nil"/>
            </w:tcBorders>
          </w:tcPr>
          <w:p w:rsidR="003F7DC2" w:rsidRDefault="003F7DC2" w:rsidP="00FA2ACD">
            <w:pPr>
              <w:pStyle w:val="TableText"/>
              <w:spacing w:before="80" w:after="120"/>
            </w:pPr>
            <w:r>
              <w:t>7–12 marks</w:t>
            </w:r>
          </w:p>
        </w:tc>
        <w:tc>
          <w:tcPr>
            <w:tcW w:w="5220" w:type="dxa"/>
            <w:tcBorders>
              <w:left w:val="nil"/>
              <w:bottom w:val="single" w:sz="4" w:space="0" w:color="auto"/>
              <w:right w:val="nil"/>
            </w:tcBorders>
          </w:tcPr>
          <w:p w:rsidR="003F7DC2" w:rsidRDefault="003F7DC2" w:rsidP="00FA2ACD">
            <w:pPr>
              <w:pStyle w:val="TableText"/>
              <w:spacing w:before="80" w:after="120"/>
            </w:pPr>
            <w:r>
              <w:t xml:space="preserve">Use of ideas, arguments and language generally appropriate to the chosen form, audience, purpose and context. Some understanding of basic ideas and/or arguments relevant to the chosen Context and presented in selected texts; some evidence of an ability to draw on these in the creation of own text/s. Clear expression of ideas in writing. Use of limited </w:t>
            </w:r>
            <w:proofErr w:type="spellStart"/>
            <w:r>
              <w:t>metalanguage</w:t>
            </w:r>
            <w:proofErr w:type="spellEnd"/>
            <w:r>
              <w:t xml:space="preserve"> to present a general explanation of personal authorial choices.</w:t>
            </w:r>
          </w:p>
        </w:tc>
      </w:tr>
      <w:tr w:rsidR="003F7DC2" w:rsidTr="00FA2ACD">
        <w:tblPrEx>
          <w:tblCellMar>
            <w:top w:w="0" w:type="dxa"/>
            <w:bottom w:w="0" w:type="dxa"/>
          </w:tblCellMar>
        </w:tblPrEx>
        <w:tc>
          <w:tcPr>
            <w:tcW w:w="2340" w:type="dxa"/>
            <w:tcBorders>
              <w:left w:val="nil"/>
              <w:right w:val="nil"/>
            </w:tcBorders>
          </w:tcPr>
          <w:p w:rsidR="003F7DC2" w:rsidRDefault="003F7DC2" w:rsidP="00FA2ACD">
            <w:pPr>
              <w:pStyle w:val="TableText"/>
              <w:spacing w:before="120" w:after="120"/>
            </w:pPr>
            <w:r>
              <w:t>1–6 marks</w:t>
            </w:r>
          </w:p>
        </w:tc>
        <w:tc>
          <w:tcPr>
            <w:tcW w:w="5220" w:type="dxa"/>
            <w:tcBorders>
              <w:left w:val="nil"/>
              <w:right w:val="nil"/>
            </w:tcBorders>
          </w:tcPr>
          <w:p w:rsidR="003F7DC2" w:rsidRDefault="003F7DC2" w:rsidP="00FA2ACD">
            <w:pPr>
              <w:pStyle w:val="TableText"/>
              <w:spacing w:before="120" w:after="120"/>
            </w:pPr>
            <w:r>
              <w:t xml:space="preserve">Little evidence of an ability to use ideas, arguments and language appropriate to the chosen form, audience, purpose and context. Limited understanding of basic ideas and/or arguments relevant to the chosen Context and presented in selected texts; little evidence of an ability to draw on these in the creation of own text/s. Simple expression of ideas in writing. Little use of </w:t>
            </w:r>
            <w:proofErr w:type="spellStart"/>
            <w:r>
              <w:t>metalanguage</w:t>
            </w:r>
            <w:proofErr w:type="spellEnd"/>
            <w:r>
              <w:t xml:space="preserve"> and minimal discussion of authorial choices.</w:t>
            </w:r>
          </w:p>
        </w:tc>
      </w:tr>
    </w:tbl>
    <w:p w:rsidR="003F7DC2" w:rsidRDefault="003F7DC2" w:rsidP="003F7DC2">
      <w:pPr>
        <w:rPr>
          <w:rFonts w:ascii="Times-Roman" w:hAnsi="Times-Roman" w:cs="Times-Roman"/>
          <w:color w:val="20231E"/>
          <w:sz w:val="22"/>
          <w:szCs w:val="22"/>
        </w:rPr>
      </w:pPr>
    </w:p>
    <w:p w:rsidR="00DC0966" w:rsidRDefault="00DC0966"/>
    <w:sectPr w:rsidR="00DC09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HelveticaNeue-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HelveticaNeue-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DC2"/>
    <w:rsid w:val="00006A8A"/>
    <w:rsid w:val="00011631"/>
    <w:rsid w:val="000116C0"/>
    <w:rsid w:val="00013994"/>
    <w:rsid w:val="0002410E"/>
    <w:rsid w:val="00033032"/>
    <w:rsid w:val="00036F87"/>
    <w:rsid w:val="000428AF"/>
    <w:rsid w:val="000716E6"/>
    <w:rsid w:val="00090C13"/>
    <w:rsid w:val="00096E67"/>
    <w:rsid w:val="000B0297"/>
    <w:rsid w:val="000B55DE"/>
    <w:rsid w:val="000B774D"/>
    <w:rsid w:val="000C18B2"/>
    <w:rsid w:val="000D49B6"/>
    <w:rsid w:val="000E0322"/>
    <w:rsid w:val="000E0CEE"/>
    <w:rsid w:val="000E340B"/>
    <w:rsid w:val="000F1D9C"/>
    <w:rsid w:val="000F2899"/>
    <w:rsid w:val="00100641"/>
    <w:rsid w:val="00114D7F"/>
    <w:rsid w:val="00126717"/>
    <w:rsid w:val="001342CE"/>
    <w:rsid w:val="00147D46"/>
    <w:rsid w:val="00174B87"/>
    <w:rsid w:val="00175018"/>
    <w:rsid w:val="001833D1"/>
    <w:rsid w:val="001925EF"/>
    <w:rsid w:val="00197E96"/>
    <w:rsid w:val="001A04FF"/>
    <w:rsid w:val="001C2DAE"/>
    <w:rsid w:val="001D0402"/>
    <w:rsid w:val="001D357A"/>
    <w:rsid w:val="001D49E4"/>
    <w:rsid w:val="001D7552"/>
    <w:rsid w:val="001E3699"/>
    <w:rsid w:val="001E594D"/>
    <w:rsid w:val="001E7EA6"/>
    <w:rsid w:val="001F0281"/>
    <w:rsid w:val="001F4E79"/>
    <w:rsid w:val="00204AB4"/>
    <w:rsid w:val="00205815"/>
    <w:rsid w:val="002171FE"/>
    <w:rsid w:val="002174F5"/>
    <w:rsid w:val="002344EA"/>
    <w:rsid w:val="00235BC6"/>
    <w:rsid w:val="00251209"/>
    <w:rsid w:val="00253761"/>
    <w:rsid w:val="00253BFF"/>
    <w:rsid w:val="00256513"/>
    <w:rsid w:val="00263728"/>
    <w:rsid w:val="00266A6D"/>
    <w:rsid w:val="0027141F"/>
    <w:rsid w:val="00295684"/>
    <w:rsid w:val="00296578"/>
    <w:rsid w:val="002A7141"/>
    <w:rsid w:val="002C3CA1"/>
    <w:rsid w:val="002C6C4E"/>
    <w:rsid w:val="002E4BDB"/>
    <w:rsid w:val="003016AD"/>
    <w:rsid w:val="00304D94"/>
    <w:rsid w:val="00306D46"/>
    <w:rsid w:val="0030727D"/>
    <w:rsid w:val="003107AA"/>
    <w:rsid w:val="003248CF"/>
    <w:rsid w:val="0032524F"/>
    <w:rsid w:val="003368E9"/>
    <w:rsid w:val="00341A61"/>
    <w:rsid w:val="0034392B"/>
    <w:rsid w:val="00346A7C"/>
    <w:rsid w:val="00346EFC"/>
    <w:rsid w:val="003475CB"/>
    <w:rsid w:val="00352651"/>
    <w:rsid w:val="00366233"/>
    <w:rsid w:val="00372B40"/>
    <w:rsid w:val="00374C63"/>
    <w:rsid w:val="00393656"/>
    <w:rsid w:val="003962D1"/>
    <w:rsid w:val="00396F6B"/>
    <w:rsid w:val="003A28BE"/>
    <w:rsid w:val="003B0BB5"/>
    <w:rsid w:val="003B275E"/>
    <w:rsid w:val="003B3FE3"/>
    <w:rsid w:val="003B53C0"/>
    <w:rsid w:val="003B5D1C"/>
    <w:rsid w:val="003B5F12"/>
    <w:rsid w:val="003C1AF8"/>
    <w:rsid w:val="003D020C"/>
    <w:rsid w:val="003D159A"/>
    <w:rsid w:val="003E23EF"/>
    <w:rsid w:val="003F0EBF"/>
    <w:rsid w:val="003F6044"/>
    <w:rsid w:val="003F7DC2"/>
    <w:rsid w:val="00403C94"/>
    <w:rsid w:val="00404947"/>
    <w:rsid w:val="004057A2"/>
    <w:rsid w:val="00410980"/>
    <w:rsid w:val="00412A96"/>
    <w:rsid w:val="00412D11"/>
    <w:rsid w:val="00414FEA"/>
    <w:rsid w:val="00415585"/>
    <w:rsid w:val="00417CA2"/>
    <w:rsid w:val="00421260"/>
    <w:rsid w:val="00421EE5"/>
    <w:rsid w:val="0043114C"/>
    <w:rsid w:val="004331E8"/>
    <w:rsid w:val="00445DD1"/>
    <w:rsid w:val="0045395F"/>
    <w:rsid w:val="00453D15"/>
    <w:rsid w:val="00456976"/>
    <w:rsid w:val="00467911"/>
    <w:rsid w:val="00473EB7"/>
    <w:rsid w:val="00474A53"/>
    <w:rsid w:val="00477B92"/>
    <w:rsid w:val="00487579"/>
    <w:rsid w:val="0049000B"/>
    <w:rsid w:val="00495FB5"/>
    <w:rsid w:val="004A4676"/>
    <w:rsid w:val="004B0655"/>
    <w:rsid w:val="004C23AC"/>
    <w:rsid w:val="004C2F47"/>
    <w:rsid w:val="004D3560"/>
    <w:rsid w:val="004E7C7F"/>
    <w:rsid w:val="00502AD3"/>
    <w:rsid w:val="00504738"/>
    <w:rsid w:val="00524C90"/>
    <w:rsid w:val="00532437"/>
    <w:rsid w:val="0054023F"/>
    <w:rsid w:val="00540DE4"/>
    <w:rsid w:val="005431DE"/>
    <w:rsid w:val="00551C3F"/>
    <w:rsid w:val="00557A8A"/>
    <w:rsid w:val="00566C7A"/>
    <w:rsid w:val="00582D1C"/>
    <w:rsid w:val="00585ACB"/>
    <w:rsid w:val="005925CC"/>
    <w:rsid w:val="00595747"/>
    <w:rsid w:val="005B2535"/>
    <w:rsid w:val="005B3E55"/>
    <w:rsid w:val="005B6AFD"/>
    <w:rsid w:val="005C3997"/>
    <w:rsid w:val="005D2870"/>
    <w:rsid w:val="005D3AF4"/>
    <w:rsid w:val="005D4123"/>
    <w:rsid w:val="00610B45"/>
    <w:rsid w:val="006141B0"/>
    <w:rsid w:val="00614ECA"/>
    <w:rsid w:val="00621097"/>
    <w:rsid w:val="00624DE8"/>
    <w:rsid w:val="00626ACD"/>
    <w:rsid w:val="0062769B"/>
    <w:rsid w:val="00645E47"/>
    <w:rsid w:val="00656BE3"/>
    <w:rsid w:val="00660DDB"/>
    <w:rsid w:val="006617B5"/>
    <w:rsid w:val="006725FA"/>
    <w:rsid w:val="00676451"/>
    <w:rsid w:val="00683C1A"/>
    <w:rsid w:val="006A55D0"/>
    <w:rsid w:val="006B18D3"/>
    <w:rsid w:val="006C2387"/>
    <w:rsid w:val="006C2B2D"/>
    <w:rsid w:val="006E0C2C"/>
    <w:rsid w:val="006F4B7C"/>
    <w:rsid w:val="006F5F16"/>
    <w:rsid w:val="0070215A"/>
    <w:rsid w:val="00703877"/>
    <w:rsid w:val="0070565C"/>
    <w:rsid w:val="00710D0C"/>
    <w:rsid w:val="0071104F"/>
    <w:rsid w:val="00721D5D"/>
    <w:rsid w:val="00740717"/>
    <w:rsid w:val="00752030"/>
    <w:rsid w:val="0075698B"/>
    <w:rsid w:val="00765DE8"/>
    <w:rsid w:val="00767809"/>
    <w:rsid w:val="00783D59"/>
    <w:rsid w:val="00785FC7"/>
    <w:rsid w:val="007903E6"/>
    <w:rsid w:val="00797DB6"/>
    <w:rsid w:val="007A15EA"/>
    <w:rsid w:val="007A3146"/>
    <w:rsid w:val="007A500F"/>
    <w:rsid w:val="007C3BE2"/>
    <w:rsid w:val="007C704F"/>
    <w:rsid w:val="007C77A2"/>
    <w:rsid w:val="007D6205"/>
    <w:rsid w:val="007E1D2E"/>
    <w:rsid w:val="007F60D2"/>
    <w:rsid w:val="007F6C09"/>
    <w:rsid w:val="008030D4"/>
    <w:rsid w:val="00805095"/>
    <w:rsid w:val="00812455"/>
    <w:rsid w:val="00814203"/>
    <w:rsid w:val="00816483"/>
    <w:rsid w:val="00817EB5"/>
    <w:rsid w:val="00832979"/>
    <w:rsid w:val="00833F6E"/>
    <w:rsid w:val="00834035"/>
    <w:rsid w:val="00835136"/>
    <w:rsid w:val="00845923"/>
    <w:rsid w:val="00845DB5"/>
    <w:rsid w:val="00854375"/>
    <w:rsid w:val="00856A66"/>
    <w:rsid w:val="0088464B"/>
    <w:rsid w:val="0089075A"/>
    <w:rsid w:val="008908FB"/>
    <w:rsid w:val="00893B13"/>
    <w:rsid w:val="00895CC8"/>
    <w:rsid w:val="008A45BB"/>
    <w:rsid w:val="008A7D32"/>
    <w:rsid w:val="008B1170"/>
    <w:rsid w:val="008B16CA"/>
    <w:rsid w:val="008C5E01"/>
    <w:rsid w:val="008E3797"/>
    <w:rsid w:val="008E53BB"/>
    <w:rsid w:val="008F2375"/>
    <w:rsid w:val="00915058"/>
    <w:rsid w:val="00923698"/>
    <w:rsid w:val="00923FDE"/>
    <w:rsid w:val="00924E05"/>
    <w:rsid w:val="00930AAA"/>
    <w:rsid w:val="00941261"/>
    <w:rsid w:val="00941B56"/>
    <w:rsid w:val="00993F23"/>
    <w:rsid w:val="009944E7"/>
    <w:rsid w:val="00994993"/>
    <w:rsid w:val="009A54B3"/>
    <w:rsid w:val="009A6C6A"/>
    <w:rsid w:val="009C06C8"/>
    <w:rsid w:val="009C1934"/>
    <w:rsid w:val="009C2F24"/>
    <w:rsid w:val="009C4BD4"/>
    <w:rsid w:val="009C7B4E"/>
    <w:rsid w:val="009D2DFD"/>
    <w:rsid w:val="009D4C44"/>
    <w:rsid w:val="009E0A14"/>
    <w:rsid w:val="009E2471"/>
    <w:rsid w:val="009F02A3"/>
    <w:rsid w:val="00A0468F"/>
    <w:rsid w:val="00A133C7"/>
    <w:rsid w:val="00A14909"/>
    <w:rsid w:val="00A1633E"/>
    <w:rsid w:val="00A2013E"/>
    <w:rsid w:val="00A20F26"/>
    <w:rsid w:val="00A274CC"/>
    <w:rsid w:val="00A343DB"/>
    <w:rsid w:val="00A43DA8"/>
    <w:rsid w:val="00A43F68"/>
    <w:rsid w:val="00A46465"/>
    <w:rsid w:val="00A50DD4"/>
    <w:rsid w:val="00A55001"/>
    <w:rsid w:val="00A56410"/>
    <w:rsid w:val="00A637E0"/>
    <w:rsid w:val="00A66527"/>
    <w:rsid w:val="00A733BA"/>
    <w:rsid w:val="00A77210"/>
    <w:rsid w:val="00A773F8"/>
    <w:rsid w:val="00A82B14"/>
    <w:rsid w:val="00A86A32"/>
    <w:rsid w:val="00A9210C"/>
    <w:rsid w:val="00A967BC"/>
    <w:rsid w:val="00AA0EBF"/>
    <w:rsid w:val="00AA388F"/>
    <w:rsid w:val="00AA5AED"/>
    <w:rsid w:val="00AB078F"/>
    <w:rsid w:val="00AB12F6"/>
    <w:rsid w:val="00AB326A"/>
    <w:rsid w:val="00AC037A"/>
    <w:rsid w:val="00AD7DB4"/>
    <w:rsid w:val="00AE5733"/>
    <w:rsid w:val="00AF57BF"/>
    <w:rsid w:val="00AF7BBC"/>
    <w:rsid w:val="00B01322"/>
    <w:rsid w:val="00B06F88"/>
    <w:rsid w:val="00B10195"/>
    <w:rsid w:val="00B14C13"/>
    <w:rsid w:val="00B264DB"/>
    <w:rsid w:val="00B34999"/>
    <w:rsid w:val="00B4540B"/>
    <w:rsid w:val="00B53C43"/>
    <w:rsid w:val="00B5648E"/>
    <w:rsid w:val="00B73777"/>
    <w:rsid w:val="00B83BBB"/>
    <w:rsid w:val="00B92E9C"/>
    <w:rsid w:val="00BA2A53"/>
    <w:rsid w:val="00BA4CCD"/>
    <w:rsid w:val="00BA6795"/>
    <w:rsid w:val="00BB19C4"/>
    <w:rsid w:val="00BB3B6C"/>
    <w:rsid w:val="00BD7A68"/>
    <w:rsid w:val="00BE4F75"/>
    <w:rsid w:val="00BF3C03"/>
    <w:rsid w:val="00BF3E84"/>
    <w:rsid w:val="00BF582E"/>
    <w:rsid w:val="00BF7573"/>
    <w:rsid w:val="00C00442"/>
    <w:rsid w:val="00C01E21"/>
    <w:rsid w:val="00C024EC"/>
    <w:rsid w:val="00C245E1"/>
    <w:rsid w:val="00C30F50"/>
    <w:rsid w:val="00C32A6D"/>
    <w:rsid w:val="00C34342"/>
    <w:rsid w:val="00C3559A"/>
    <w:rsid w:val="00C36ADF"/>
    <w:rsid w:val="00C40412"/>
    <w:rsid w:val="00C418EA"/>
    <w:rsid w:val="00C46A82"/>
    <w:rsid w:val="00C51BCD"/>
    <w:rsid w:val="00C53059"/>
    <w:rsid w:val="00C54D69"/>
    <w:rsid w:val="00C60594"/>
    <w:rsid w:val="00C76CD2"/>
    <w:rsid w:val="00C80108"/>
    <w:rsid w:val="00C83346"/>
    <w:rsid w:val="00C92D00"/>
    <w:rsid w:val="00C9464C"/>
    <w:rsid w:val="00C9654D"/>
    <w:rsid w:val="00CB47C0"/>
    <w:rsid w:val="00CC2A40"/>
    <w:rsid w:val="00CC3AA2"/>
    <w:rsid w:val="00CC4839"/>
    <w:rsid w:val="00CD193C"/>
    <w:rsid w:val="00CD4B4B"/>
    <w:rsid w:val="00CE0C9D"/>
    <w:rsid w:val="00CE46AF"/>
    <w:rsid w:val="00D00B9F"/>
    <w:rsid w:val="00D05F07"/>
    <w:rsid w:val="00D10ADA"/>
    <w:rsid w:val="00D14A5F"/>
    <w:rsid w:val="00D17AF4"/>
    <w:rsid w:val="00D51DAB"/>
    <w:rsid w:val="00D5283E"/>
    <w:rsid w:val="00D54F9C"/>
    <w:rsid w:val="00D55B67"/>
    <w:rsid w:val="00D60B65"/>
    <w:rsid w:val="00D611E7"/>
    <w:rsid w:val="00D766C0"/>
    <w:rsid w:val="00D77795"/>
    <w:rsid w:val="00DA0B7A"/>
    <w:rsid w:val="00DA1D8F"/>
    <w:rsid w:val="00DA4349"/>
    <w:rsid w:val="00DA548A"/>
    <w:rsid w:val="00DA75A4"/>
    <w:rsid w:val="00DB38A7"/>
    <w:rsid w:val="00DB4BA0"/>
    <w:rsid w:val="00DB621C"/>
    <w:rsid w:val="00DC0655"/>
    <w:rsid w:val="00DC0966"/>
    <w:rsid w:val="00DD3080"/>
    <w:rsid w:val="00DE0F84"/>
    <w:rsid w:val="00DE41C7"/>
    <w:rsid w:val="00E03A19"/>
    <w:rsid w:val="00E167CC"/>
    <w:rsid w:val="00E31F48"/>
    <w:rsid w:val="00E33CC0"/>
    <w:rsid w:val="00E42BA6"/>
    <w:rsid w:val="00E50D63"/>
    <w:rsid w:val="00E5375F"/>
    <w:rsid w:val="00E63614"/>
    <w:rsid w:val="00E67BB1"/>
    <w:rsid w:val="00E801EE"/>
    <w:rsid w:val="00E87D12"/>
    <w:rsid w:val="00E92095"/>
    <w:rsid w:val="00EC3C10"/>
    <w:rsid w:val="00EC75B7"/>
    <w:rsid w:val="00ED2BE2"/>
    <w:rsid w:val="00ED6BC6"/>
    <w:rsid w:val="00EE5E3A"/>
    <w:rsid w:val="00EF0E19"/>
    <w:rsid w:val="00F03F10"/>
    <w:rsid w:val="00F04258"/>
    <w:rsid w:val="00F07110"/>
    <w:rsid w:val="00F12C8E"/>
    <w:rsid w:val="00F131A5"/>
    <w:rsid w:val="00F16DBA"/>
    <w:rsid w:val="00F20011"/>
    <w:rsid w:val="00F33074"/>
    <w:rsid w:val="00F34042"/>
    <w:rsid w:val="00F51616"/>
    <w:rsid w:val="00F636D4"/>
    <w:rsid w:val="00F703CF"/>
    <w:rsid w:val="00F74236"/>
    <w:rsid w:val="00F77A3B"/>
    <w:rsid w:val="00FA0BBE"/>
    <w:rsid w:val="00FA11EB"/>
    <w:rsid w:val="00FA62A5"/>
    <w:rsid w:val="00FB5BE1"/>
    <w:rsid w:val="00FC5C33"/>
    <w:rsid w:val="00FD0550"/>
    <w:rsid w:val="00FE0548"/>
    <w:rsid w:val="00FE7C06"/>
    <w:rsid w:val="00FF4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C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3"/>
    <w:basedOn w:val="Normal"/>
    <w:rsid w:val="003F7DC2"/>
    <w:pPr>
      <w:autoSpaceDE w:val="0"/>
      <w:autoSpaceDN w:val="0"/>
      <w:adjustRightInd w:val="0"/>
      <w:spacing w:before="180"/>
    </w:pPr>
    <w:rPr>
      <w:rFonts w:ascii="Arial Narrow" w:hAnsi="Arial Narrow"/>
      <w:b/>
      <w:szCs w:val="26"/>
      <w:lang w:eastAsia="en-US"/>
    </w:rPr>
  </w:style>
  <w:style w:type="paragraph" w:customStyle="1" w:styleId="TableHead">
    <w:name w:val="TableHead"/>
    <w:basedOn w:val="Normal"/>
    <w:rsid w:val="003F7DC2"/>
    <w:pPr>
      <w:spacing w:before="60" w:after="60"/>
    </w:pPr>
    <w:rPr>
      <w:rFonts w:ascii="Arial Narrow" w:hAnsi="Arial Narrow"/>
      <w:b/>
      <w:sz w:val="20"/>
      <w:szCs w:val="20"/>
      <w:lang w:val="en-US" w:eastAsia="en-US"/>
    </w:rPr>
  </w:style>
  <w:style w:type="paragraph" w:customStyle="1" w:styleId="TableText">
    <w:name w:val="TableText"/>
    <w:basedOn w:val="Normal"/>
    <w:rsid w:val="003F7DC2"/>
    <w:pPr>
      <w:spacing w:before="60" w:after="60"/>
    </w:pPr>
    <w:rPr>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C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3"/>
    <w:basedOn w:val="Normal"/>
    <w:rsid w:val="003F7DC2"/>
    <w:pPr>
      <w:autoSpaceDE w:val="0"/>
      <w:autoSpaceDN w:val="0"/>
      <w:adjustRightInd w:val="0"/>
      <w:spacing w:before="180"/>
    </w:pPr>
    <w:rPr>
      <w:rFonts w:ascii="Arial Narrow" w:hAnsi="Arial Narrow"/>
      <w:b/>
      <w:szCs w:val="26"/>
      <w:lang w:eastAsia="en-US"/>
    </w:rPr>
  </w:style>
  <w:style w:type="paragraph" w:customStyle="1" w:styleId="TableHead">
    <w:name w:val="TableHead"/>
    <w:basedOn w:val="Normal"/>
    <w:rsid w:val="003F7DC2"/>
    <w:pPr>
      <w:spacing w:before="60" w:after="60"/>
    </w:pPr>
    <w:rPr>
      <w:rFonts w:ascii="Arial Narrow" w:hAnsi="Arial Narrow"/>
      <w:b/>
      <w:sz w:val="20"/>
      <w:szCs w:val="20"/>
      <w:lang w:val="en-US" w:eastAsia="en-US"/>
    </w:rPr>
  </w:style>
  <w:style w:type="paragraph" w:customStyle="1" w:styleId="TableText">
    <w:name w:val="TableText"/>
    <w:basedOn w:val="Normal"/>
    <w:rsid w:val="003F7DC2"/>
    <w:pPr>
      <w:spacing w:before="60" w:after="60"/>
    </w:pPr>
    <w:rPr>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1</cp:revision>
  <dcterms:created xsi:type="dcterms:W3CDTF">2012-04-11T03:51:00Z</dcterms:created>
  <dcterms:modified xsi:type="dcterms:W3CDTF">2012-04-11T03:55:00Z</dcterms:modified>
</cp:coreProperties>
</file>